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91" w:rsidRDefault="00814991" w:rsidP="008149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814991" w:rsidRDefault="00814991" w:rsidP="008149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на территории Тарского городского поселения Тарского муниципального района Омской области конкурсного отбора инициативных проектов граждан</w:t>
      </w:r>
    </w:p>
    <w:p w:rsidR="00814991" w:rsidRDefault="00814991" w:rsidP="008149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991" w:rsidRDefault="00814991" w:rsidP="00814991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Тарского городского поселения Тарского муниципального района Омской области на территории Тарского городского поселения Тарского муниципального района Омской области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(далее конкурсный отбор).</w:t>
      </w:r>
    </w:p>
    <w:p w:rsidR="00814991" w:rsidRDefault="00814991" w:rsidP="008149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D610BB">
        <w:rPr>
          <w:sz w:val="28"/>
          <w:szCs w:val="28"/>
        </w:rPr>
        <w:t xml:space="preserve">Прием заявок на участие в конкурсном отборе, а также документов, прилагаемых к ним, осуществляется </w:t>
      </w:r>
      <w:r>
        <w:rPr>
          <w:color w:val="000000"/>
          <w:sz w:val="28"/>
          <w:szCs w:val="28"/>
        </w:rPr>
        <w:t xml:space="preserve">с 9.00 часов 29 июля 2024 года по 17.00 часов </w:t>
      </w:r>
      <w:r w:rsidR="00180B43">
        <w:rPr>
          <w:color w:val="000000"/>
          <w:sz w:val="28"/>
          <w:szCs w:val="28"/>
        </w:rPr>
        <w:t>17 сентября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2024 года.</w:t>
      </w:r>
    </w:p>
    <w:p w:rsidR="00814991" w:rsidRPr="00D610BB" w:rsidRDefault="00814991" w:rsidP="0081499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 заявке прилагаются следующие документы для участия в конкурсном отборе (далее-документы):</w:t>
      </w:r>
    </w:p>
    <w:p w:rsidR="00814991" w:rsidRPr="009231A9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описание инициативного проекта.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Инициативный проект должен содержать следующие сведения: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проблемы, решение которой имеет приоритетное значение для жителей Тарского городского поселения или его части;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ind w:left="786" w:hanging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обоснование предложений по решению указанной проблемы;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описание ожидаемого результата (ожидаемых результатов) реализации инициативного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предварительный расчет необходимых расходов на реализацию инициативного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планируемые сроки реализации инициативного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14991" w:rsidRPr="009231A9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указание на территорию Тарского городского поселения или его часть, в границах которой будет реализовываться инициативный проект;</w:t>
      </w:r>
    </w:p>
    <w:p w:rsidR="00814991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схода граждан, собрания, конференции граждан (документ, подтверждающий мнение граждан, полученный путем опроса, сбора их подписей);</w:t>
      </w:r>
    </w:p>
    <w:p w:rsidR="00814991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Предварительный расчет необходимых расходов на реализацию инициативного проекта, локальная смета расходов;</w:t>
      </w:r>
    </w:p>
    <w:p w:rsidR="00814991" w:rsidRDefault="00814991" w:rsidP="008149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Гарантийные письма физических лиц, юридических лиц и индивидуальных предпринимателей о намерении направить средства на реализацию инициативного проекта либо участвовать в его реализации в </w:t>
      </w:r>
      <w:r>
        <w:rPr>
          <w:color w:val="000000"/>
          <w:sz w:val="28"/>
          <w:szCs w:val="28"/>
        </w:rPr>
        <w:lastRenderedPageBreak/>
        <w:t>нефинансовой форме (в случае указания в описании инициативного проекта планируемого участия физических, юридических лиц, индивидуальных предпринимателей в реализации инициативного проекта в финансовой и нефинансовой форме).</w:t>
      </w:r>
    </w:p>
    <w:p w:rsidR="00814991" w:rsidRPr="003C4A24" w:rsidRDefault="00814991" w:rsidP="00814991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 инициативных проектов для участия в Конкурсном отборе: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благоустройство общественных территорий;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устройство детских игровых площадок;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обустройство мест захоронения;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устройство спортивных площадок и стадионов;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обустройство прилегающих территорий к объектам социальной инфраструктуры в сфере культуры;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обустройство прилегающих территорий к объектам социальной инфраструктуры в сфере физической культуры и спорта;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проведение культурных мероприятий;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24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спортивных мероприятий;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уличного освещения;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ремонт автомобильных дорог общего пользования местного значения;</w:t>
      </w:r>
    </w:p>
    <w:p w:rsidR="00814991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содержание автомобильных дорог общего пользования местного значения;</w:t>
      </w:r>
    </w:p>
    <w:p w:rsidR="00814991" w:rsidRPr="003C4A24" w:rsidRDefault="00814991" w:rsidP="0081499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обустройство прилегающих территорий к объектам социальной инфраструктуры в сфере образования.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каждому инициативному проекту составляется отдельная заявка.</w:t>
      </w:r>
    </w:p>
    <w:p w:rsidR="00814991" w:rsidRDefault="00814991" w:rsidP="00814991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2158">
        <w:rPr>
          <w:rFonts w:ascii="Times New Roman" w:hAnsi="Times New Roman" w:cs="Times New Roman"/>
          <w:color w:val="000000"/>
          <w:sz w:val="28"/>
          <w:szCs w:val="28"/>
        </w:rPr>
        <w:t>С Положением о порядке выдвижения</w:t>
      </w:r>
      <w:r w:rsidRPr="00C92158">
        <w:rPr>
          <w:rFonts w:ascii="Times New Roman" w:hAnsi="Times New Roman" w:cs="Times New Roman"/>
          <w:sz w:val="28"/>
          <w:szCs w:val="28"/>
        </w:rPr>
        <w:t>, внесения, обсуждения, рассмотрения инициативных проектов, а также проведения их отбора на территории Тарского городского поселения Тарского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ознакомиться на официальном сайте органов местного самоуправления Тарского городского поселения </w:t>
      </w:r>
      <w:hyperlink r:id="rId5" w:history="1">
        <w:r w:rsidRPr="00760923">
          <w:rPr>
            <w:rStyle w:val="a4"/>
            <w:rFonts w:ascii="Montserrat" w:hAnsi="Montserrat"/>
            <w:bCs/>
            <w:sz w:val="28"/>
            <w:szCs w:val="28"/>
            <w:shd w:val="clear" w:color="auto" w:fill="FFFFFF"/>
          </w:rPr>
          <w:t>https://tarskoe.gosuslugi.ru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«Инициативное бюджетирование».</w:t>
      </w:r>
    </w:p>
    <w:p w:rsidR="00814991" w:rsidRDefault="00814991" w:rsidP="0081499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данные специалиста Администрации Тарского городского поселения Тарского муниципального района Омской области, осуществляющего прием инициативных проектов и консультирование по вопросам проведения конкурсного отбора:</w:t>
      </w:r>
    </w:p>
    <w:p w:rsidR="00814991" w:rsidRDefault="00814991" w:rsidP="00814991">
      <w:pPr>
        <w:pStyle w:val="a3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Дегтярёва Валентина Викторовна – главный специалист-управляющий делами Администрации Тарского городского поселения Тарского муниципального района Омской области, тел.: 8(381171) 2-12-57. </w:t>
      </w:r>
    </w:p>
    <w:p w:rsidR="00814991" w:rsidRPr="00B77F45" w:rsidRDefault="00814991" w:rsidP="00814991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и документы для участия в конкурсном отборе необходимо направлять в Администрацию Тарского городского поселения по адресу: Омская область, Тарский район, г. Тара, ул. Советская, 23 А.</w:t>
      </w:r>
    </w:p>
    <w:p w:rsidR="00814991" w:rsidRPr="00C92158" w:rsidRDefault="00814991" w:rsidP="008149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4991" w:rsidRPr="00D610BB" w:rsidRDefault="00814991" w:rsidP="00814991">
      <w:pPr>
        <w:widowControl w:val="0"/>
        <w:spacing w:after="0" w:line="240" w:lineRule="auto"/>
        <w:ind w:left="426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Default="00814991" w:rsidP="0081499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991" w:rsidRPr="00541CFB" w:rsidRDefault="00814991" w:rsidP="00814991">
      <w:pPr>
        <w:rPr>
          <w:lang w:eastAsia="ru-RU"/>
        </w:rPr>
      </w:pPr>
    </w:p>
    <w:p w:rsidR="00E12D9F" w:rsidRDefault="00E12D9F"/>
    <w:sectPr w:rsidR="00E12D9F" w:rsidSect="0029308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1461A"/>
    <w:multiLevelType w:val="hybridMultilevel"/>
    <w:tmpl w:val="3F4EFA3E"/>
    <w:lvl w:ilvl="0" w:tplc="56A45F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A82"/>
    <w:multiLevelType w:val="hybridMultilevel"/>
    <w:tmpl w:val="471670A8"/>
    <w:lvl w:ilvl="0" w:tplc="819A942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5D7BFC"/>
    <w:multiLevelType w:val="hybridMultilevel"/>
    <w:tmpl w:val="3722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91"/>
    <w:rsid w:val="00180B43"/>
    <w:rsid w:val="00814991"/>
    <w:rsid w:val="00D36A8C"/>
    <w:rsid w:val="00E12D9F"/>
    <w:rsid w:val="00E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081EB-8A4D-408E-B541-1CDDE0C5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91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8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rskoe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2024-07-29T08:12:00Z</dcterms:created>
  <dcterms:modified xsi:type="dcterms:W3CDTF">2024-10-03T11:38:00Z</dcterms:modified>
</cp:coreProperties>
</file>